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16AECFC9" w:rsidR="00E66D9D" w:rsidRPr="00FD29BB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FD29BB">
        <w:rPr>
          <w:b/>
          <w:noProof/>
          <w:sz w:val="24"/>
          <w:lang w:val="de-DE"/>
        </w:rPr>
        <w:t>3GPP TSG</w:t>
      </w:r>
      <w:r w:rsidR="006A12FF" w:rsidRPr="00FD29BB">
        <w:rPr>
          <w:b/>
          <w:noProof/>
          <w:sz w:val="24"/>
          <w:lang w:val="de-DE"/>
        </w:rPr>
        <w:t xml:space="preserve"> </w:t>
      </w:r>
      <w:r w:rsidR="00DA35C4" w:rsidRPr="00FD29BB">
        <w:rPr>
          <w:b/>
          <w:noProof/>
          <w:sz w:val="24"/>
          <w:lang w:val="de-DE"/>
        </w:rPr>
        <w:t>RAN</w:t>
      </w:r>
      <w:r w:rsidRPr="00FD29BB">
        <w:rPr>
          <w:b/>
          <w:noProof/>
          <w:sz w:val="24"/>
          <w:lang w:val="de-DE"/>
        </w:rPr>
        <w:t xml:space="preserve"> WG</w:t>
      </w:r>
      <w:r w:rsidR="00DA35C4" w:rsidRPr="00FD29BB">
        <w:rPr>
          <w:b/>
          <w:noProof/>
          <w:sz w:val="24"/>
          <w:lang w:val="de-DE"/>
        </w:rPr>
        <w:t>3</w:t>
      </w:r>
      <w:r w:rsidRPr="00FD29BB">
        <w:rPr>
          <w:b/>
          <w:noProof/>
          <w:sz w:val="24"/>
          <w:lang w:val="de-DE"/>
        </w:rPr>
        <w:t>#1</w:t>
      </w:r>
      <w:r w:rsidR="00DA35C4" w:rsidRPr="00FD29BB">
        <w:rPr>
          <w:b/>
          <w:noProof/>
          <w:sz w:val="24"/>
          <w:lang w:val="de-DE"/>
        </w:rPr>
        <w:t>1</w:t>
      </w:r>
      <w:r w:rsidRPr="00FD29BB">
        <w:rPr>
          <w:b/>
          <w:noProof/>
          <w:sz w:val="24"/>
          <w:lang w:val="de-DE"/>
        </w:rPr>
        <w:t>7</w:t>
      </w:r>
      <w:r>
        <w:rPr>
          <w:b/>
          <w:noProof/>
          <w:sz w:val="24"/>
          <w:lang w:val="hr-HR"/>
        </w:rPr>
        <w:t>-</w:t>
      </w:r>
      <w:r w:rsidR="00DA35C4">
        <w:rPr>
          <w:b/>
          <w:noProof/>
          <w:sz w:val="24"/>
          <w:lang w:val="hr-HR"/>
        </w:rPr>
        <w:t>bis-</w:t>
      </w:r>
      <w:r w:rsidRPr="00FD29BB">
        <w:rPr>
          <w:b/>
          <w:noProof/>
          <w:sz w:val="24"/>
          <w:lang w:val="de-DE"/>
        </w:rPr>
        <w:t>e</w:t>
      </w:r>
      <w:r w:rsidRPr="00FD29BB">
        <w:rPr>
          <w:b/>
          <w:i/>
          <w:noProof/>
          <w:sz w:val="28"/>
          <w:lang w:val="de-DE"/>
        </w:rPr>
        <w:tab/>
      </w:r>
      <w:r w:rsidR="00DA35C4" w:rsidRPr="00FD29BB">
        <w:rPr>
          <w:b/>
          <w:noProof/>
          <w:sz w:val="24"/>
          <w:lang w:val="de-DE"/>
        </w:rPr>
        <w:t>R3</w:t>
      </w:r>
      <w:r w:rsidRPr="00FD29BB">
        <w:rPr>
          <w:b/>
          <w:noProof/>
          <w:sz w:val="24"/>
          <w:lang w:val="de-DE"/>
        </w:rPr>
        <w:t>-22</w:t>
      </w:r>
      <w:r w:rsidR="00D11D73">
        <w:rPr>
          <w:b/>
          <w:noProof/>
          <w:sz w:val="24"/>
          <w:lang w:val="de-DE"/>
        </w:rPr>
        <w:t>5358</w:t>
      </w:r>
    </w:p>
    <w:p w14:paraId="4512D2BA" w14:textId="240CDD5E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35C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A35C4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A35C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CCA3B1B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FD29BB">
        <w:t xml:space="preserve">[DRAFT] </w:t>
      </w:r>
      <w:r w:rsidR="00104AF8" w:rsidRPr="00104AF8">
        <w:t xml:space="preserve">Reply LS on </w:t>
      </w:r>
      <w:r w:rsidR="00DA35C4">
        <w:rPr>
          <w:color w:val="0D0D0D"/>
        </w:rPr>
        <w:t>FS_VMR solutions review</w:t>
      </w:r>
    </w:p>
    <w:p w14:paraId="65004854" w14:textId="24FDDB82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</w:r>
      <w:r w:rsidRPr="007626BF">
        <w:rPr>
          <w:b w:val="0"/>
          <w:bCs w:val="0"/>
        </w:rPr>
        <w:t xml:space="preserve">LS </w:t>
      </w:r>
      <w:r w:rsidR="00BF6B0C" w:rsidRPr="007626BF">
        <w:rPr>
          <w:b w:val="0"/>
          <w:bCs w:val="0"/>
        </w:rPr>
        <w:t xml:space="preserve">R3-225317 </w:t>
      </w:r>
      <w:r w:rsidRPr="007626BF">
        <w:rPr>
          <w:b w:val="0"/>
          <w:bCs w:val="0"/>
        </w:rPr>
        <w:t>(</w:t>
      </w:r>
      <w:r w:rsidR="00DA35C4" w:rsidRPr="007626BF">
        <w:rPr>
          <w:b w:val="0"/>
          <w:bCs w:val="0"/>
        </w:rPr>
        <w:t>S</w:t>
      </w:r>
      <w:r w:rsidR="00104AF8" w:rsidRPr="007626BF">
        <w:rPr>
          <w:b w:val="0"/>
          <w:bCs w:val="0"/>
        </w:rPr>
        <w:t>2</w:t>
      </w:r>
      <w:r w:rsidRPr="007626BF">
        <w:rPr>
          <w:b w:val="0"/>
          <w:bCs w:val="0"/>
        </w:rPr>
        <w:t>-</w:t>
      </w:r>
      <w:r w:rsidR="00104AF8" w:rsidRPr="007626BF">
        <w:rPr>
          <w:b w:val="0"/>
          <w:bCs w:val="0"/>
        </w:rPr>
        <w:t>2</w:t>
      </w:r>
      <w:r w:rsidR="00957831" w:rsidRPr="007626BF">
        <w:rPr>
          <w:b w:val="0"/>
          <w:bCs w:val="0"/>
        </w:rPr>
        <w:t>2</w:t>
      </w:r>
      <w:r w:rsidR="00DA35C4" w:rsidRPr="007626BF">
        <w:rPr>
          <w:b w:val="0"/>
          <w:bCs w:val="0"/>
        </w:rPr>
        <w:t>07070</w:t>
      </w:r>
      <w:r w:rsidRPr="007626BF">
        <w:rPr>
          <w:b w:val="0"/>
          <w:bCs w:val="0"/>
        </w:rPr>
        <w:t xml:space="preserve">) on </w:t>
      </w:r>
      <w:r w:rsidR="00DA35C4" w:rsidRPr="007626BF">
        <w:rPr>
          <w:b w:val="0"/>
          <w:bCs w:val="0"/>
          <w:color w:val="0D0D0D"/>
        </w:rPr>
        <w:t>FS_VMR solutions review</w:t>
      </w:r>
    </w:p>
    <w:p w14:paraId="56E3B846" w14:textId="6A3D9DBC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BF6B0C" w:rsidRPr="007626BF">
        <w:rPr>
          <w:b w:val="0"/>
          <w:bCs w:val="0"/>
        </w:rPr>
        <w:t>Rel-</w:t>
      </w:r>
      <w:r w:rsidR="00104AF8" w:rsidRPr="007626BF">
        <w:rPr>
          <w:b w:val="0"/>
          <w:bCs w:val="0"/>
        </w:rPr>
        <w:t>1</w:t>
      </w:r>
      <w:r w:rsidR="00DA35C4" w:rsidRPr="007626BF">
        <w:rPr>
          <w:b w:val="0"/>
          <w:bCs w:val="0"/>
        </w:rPr>
        <w:t>8</w:t>
      </w:r>
    </w:p>
    <w:p w14:paraId="792135A2" w14:textId="431368A6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C31A0D" w:rsidRPr="007626BF">
        <w:rPr>
          <w:b w:val="0"/>
          <w:bCs w:val="0"/>
        </w:rPr>
        <w:t>NR_</w:t>
      </w:r>
      <w:proofErr w:type="spellStart"/>
      <w:r w:rsidR="00DA35C4" w:rsidRPr="007626BF">
        <w:rPr>
          <w:b w:val="0"/>
          <w:bCs w:val="0"/>
          <w:lang w:val="en-US"/>
        </w:rPr>
        <w:t>mobile_IAB</w:t>
      </w:r>
      <w:proofErr w:type="spellEnd"/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3D5AE3" w:rsidR="00463675" w:rsidRPr="007626BF" w:rsidRDefault="00463675" w:rsidP="000F4E43">
      <w:pPr>
        <w:pStyle w:val="Source"/>
        <w:rPr>
          <w:b w:val="0"/>
          <w:bCs/>
        </w:rPr>
      </w:pPr>
      <w:r w:rsidRPr="00104AF8">
        <w:t>Source:</w:t>
      </w:r>
      <w:r w:rsidRPr="00104AF8">
        <w:tab/>
      </w:r>
      <w:r w:rsidR="00FD29BB" w:rsidRPr="007626BF">
        <w:rPr>
          <w:b w:val="0"/>
          <w:bCs/>
        </w:rPr>
        <w:t xml:space="preserve">Qualcomm [to be: </w:t>
      </w:r>
      <w:r w:rsidR="00DA35C4" w:rsidRPr="007626BF">
        <w:rPr>
          <w:b w:val="0"/>
          <w:bCs/>
        </w:rPr>
        <w:t>RAN3</w:t>
      </w:r>
      <w:r w:rsidR="00FD29BB" w:rsidRPr="007626BF">
        <w:rPr>
          <w:b w:val="0"/>
          <w:bCs/>
        </w:rPr>
        <w:t>]</w:t>
      </w:r>
    </w:p>
    <w:p w14:paraId="6AF9910D" w14:textId="62FF2F68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DA35C4">
        <w:rPr>
          <w:b w:val="0"/>
        </w:rPr>
        <w:t>SA2</w:t>
      </w:r>
    </w:p>
    <w:p w14:paraId="033E954A" w14:textId="1B659509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00541E">
        <w:rPr>
          <w:b w:val="0"/>
        </w:rPr>
        <w:t xml:space="preserve">RAN2, </w:t>
      </w:r>
      <w:r w:rsidR="00DA35C4">
        <w:rPr>
          <w:b w:val="0"/>
        </w:rPr>
        <w:t>RAN4,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6480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A35C4" w:rsidRPr="007626BF">
        <w:rPr>
          <w:b w:val="0"/>
        </w:rPr>
        <w:t>Georg</w:t>
      </w:r>
      <w:r w:rsidR="00104AF8" w:rsidRPr="007626BF">
        <w:rPr>
          <w:b w:val="0"/>
        </w:rPr>
        <w:t xml:space="preserve"> </w:t>
      </w:r>
      <w:r w:rsidR="00DA35C4" w:rsidRPr="007626BF">
        <w:rPr>
          <w:b w:val="0"/>
        </w:rPr>
        <w:t>Hampel</w:t>
      </w:r>
    </w:p>
    <w:p w14:paraId="5836C680" w14:textId="4CF46FD5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DA35C4" w:rsidRPr="007626BF">
        <w:rPr>
          <w:b w:val="0"/>
        </w:rPr>
        <w:t>ghampel</w:t>
      </w:r>
      <w:r w:rsidR="00104AF8" w:rsidRPr="007626BF">
        <w:rPr>
          <w:b w:val="0"/>
        </w:rPr>
        <w:t>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7626BF">
        <w:rPr>
          <w:rFonts w:ascii="Arial" w:hAnsi="Arial" w:cs="Arial"/>
          <w:bCs/>
        </w:rPr>
        <w:t>3GPP Liaisons Coordinator,</w:t>
      </w:r>
      <w:r w:rsidRPr="000F4E43">
        <w:rPr>
          <w:rFonts w:ascii="Arial" w:hAnsi="Arial" w:cs="Arial"/>
          <w:b/>
        </w:rPr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C2E5B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04AF8" w:rsidRPr="007626BF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371D9902" w:rsidR="00BE6F08" w:rsidRPr="00022BBF" w:rsidRDefault="00DA35C4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BE6F08" w:rsidRPr="00022BBF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 xml:space="preserve">SA2 </w:t>
      </w:r>
      <w:r w:rsidR="00BE6F08" w:rsidRPr="00022BBF">
        <w:rPr>
          <w:rFonts w:ascii="Arial" w:hAnsi="Arial" w:cs="Arial"/>
        </w:rPr>
        <w:t>for the</w:t>
      </w:r>
      <w:r w:rsidR="004F0F83">
        <w:rPr>
          <w:rFonts w:ascii="Arial" w:hAnsi="Arial" w:cs="Arial"/>
        </w:rPr>
        <w:t>ir</w:t>
      </w:r>
      <w:r w:rsidR="00BE6F08" w:rsidRPr="00022BBF">
        <w:rPr>
          <w:rFonts w:ascii="Arial" w:hAnsi="Arial" w:cs="Arial"/>
        </w:rPr>
        <w:t xml:space="preserve"> LS on </w:t>
      </w:r>
      <w:r w:rsidRPr="00DA35C4">
        <w:rPr>
          <w:rFonts w:ascii="Arial" w:hAnsi="Arial" w:cs="Arial"/>
        </w:rPr>
        <w:t>FS_VMR solutions review</w:t>
      </w:r>
      <w:r w:rsidR="00BE6F08"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7E252592" w14:textId="01126BE0" w:rsidR="00FC1405" w:rsidRDefault="00DA35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provide the following feedback </w:t>
      </w:r>
      <w:r w:rsidR="00FC1405">
        <w:rPr>
          <w:rFonts w:ascii="Arial" w:hAnsi="Arial" w:cs="Arial"/>
        </w:rPr>
        <w:t>on the points raised by SA2:</w:t>
      </w:r>
    </w:p>
    <w:p w14:paraId="3AC12D38" w14:textId="1FF083B4" w:rsidR="006A12FF" w:rsidRDefault="006A12FF">
      <w:pPr>
        <w:rPr>
          <w:rFonts w:ascii="Arial" w:hAnsi="Arial" w:cs="Arial"/>
        </w:rPr>
      </w:pPr>
    </w:p>
    <w:p w14:paraId="429E346B" w14:textId="28635B34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#1:</w:t>
      </w:r>
      <w:r>
        <w:t xml:space="preserve"> With regard to Key Issue#1 (as defined in clause 5.1), SA2 would like to understand the necessary parameters for the operation of a Mobile Base Station Relay (MBSR), </w:t>
      </w:r>
      <w:proofErr w:type="gramStart"/>
      <w:r>
        <w:t>i.e.</w:t>
      </w:r>
      <w:proofErr w:type="gramEnd"/>
      <w:r>
        <w:t xml:space="preserve"> the mobile-IAB node. Would these parameters only be provided by OAM servers, or would additional parameters be required, including in roaming cases. </w:t>
      </w:r>
    </w:p>
    <w:p w14:paraId="06AE9F0E" w14:textId="7418824C" w:rsidR="006A12FF" w:rsidRDefault="006A12FF" w:rsidP="00F173ED">
      <w:pPr>
        <w:pStyle w:val="B1"/>
        <w:ind w:left="1134"/>
      </w:pPr>
    </w:p>
    <w:p w14:paraId="6B4B8FDF" w14:textId="548043CF" w:rsidR="006A12FF" w:rsidRDefault="006A12FF" w:rsidP="00F173ED">
      <w:pPr>
        <w:pStyle w:val="B1"/>
        <w:ind w:left="1134"/>
      </w:pPr>
      <w:r>
        <w:tab/>
      </w:r>
      <w:r w:rsidRPr="006A12FF">
        <w:rPr>
          <w:b/>
          <w:bCs/>
        </w:rPr>
        <w:t>RAN3’s feedback on point #1:</w:t>
      </w:r>
      <w:r w:rsidR="00F173ED" w:rsidRPr="00F173ED">
        <w:t xml:space="preserve"> </w:t>
      </w:r>
      <w:r w:rsidR="00A93376">
        <w:t>The parameters configured by OAM are outside of RAN3 scope. The parameters configured by RAN are defined in TS 38.331 and TS 38.473. Roaming scenarios are not in RAN3 scope</w:t>
      </w:r>
      <w:r w:rsidR="00C20BCF">
        <w:t xml:space="preserve"> for Rel-18 mobile IAB</w:t>
      </w:r>
      <w:r w:rsidR="00A93376">
        <w:t>.</w:t>
      </w:r>
      <w:bookmarkStart w:id="0" w:name="_Hlk115164681"/>
      <w:r w:rsidR="00F92D7D">
        <w:t xml:space="preserve"> RAN3 spec</w:t>
      </w:r>
      <w:r w:rsidR="007916FB">
        <w:t>ifications do</w:t>
      </w:r>
      <w:r w:rsidR="00F92D7D">
        <w:t xml:space="preserve"> not mandate the IAB-node to be configured by OAM. </w:t>
      </w:r>
      <w:bookmarkEnd w:id="0"/>
    </w:p>
    <w:p w14:paraId="6A6E0F70" w14:textId="77777777" w:rsidR="006A12FF" w:rsidRDefault="006A12FF" w:rsidP="006A12FF">
      <w:pPr>
        <w:pStyle w:val="B1"/>
      </w:pPr>
    </w:p>
    <w:p w14:paraId="4A4DBC12" w14:textId="3CB44AA7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2</w:t>
      </w:r>
      <w:r w:rsidRPr="006A12FF">
        <w:rPr>
          <w:b/>
          <w:bCs/>
        </w:rPr>
        <w:t>:</w:t>
      </w:r>
      <w:r>
        <w:t xml:space="preserve"> With regard to Key Issue#3 (as defined in clause 5.3), SA2 would like to understand if the</w:t>
      </w:r>
      <w:r w:rsidRPr="00F3267D">
        <w:t xml:space="preserve"> </w:t>
      </w:r>
      <w:r>
        <w:t xml:space="preserve">MBSR, </w:t>
      </w:r>
      <w:proofErr w:type="gramStart"/>
      <w:r>
        <w:t>i.e.</w:t>
      </w:r>
      <w:proofErr w:type="gramEnd"/>
      <w:r>
        <w:t xml:space="preserve"> mobile-IAB node, would keep the same TAC, and Cell ID, when it changes serving donor </w:t>
      </w:r>
      <w:proofErr w:type="spellStart"/>
      <w:r>
        <w:t>gNB</w:t>
      </w:r>
      <w:proofErr w:type="spellEnd"/>
      <w:r>
        <w:t>. SA2 has documented different solutions based on different options and needs RAN2 and RAN3 feedbacks for down selection.</w:t>
      </w:r>
    </w:p>
    <w:p w14:paraId="39741429" w14:textId="35364C53" w:rsidR="00F173ED" w:rsidRDefault="00F173ED" w:rsidP="006A12FF">
      <w:pPr>
        <w:pStyle w:val="B1"/>
      </w:pPr>
    </w:p>
    <w:p w14:paraId="462CB07D" w14:textId="6C14C75F" w:rsidR="00F173ED" w:rsidRDefault="00F173ED" w:rsidP="00F173ED">
      <w:pPr>
        <w:pStyle w:val="B1"/>
        <w:ind w:left="1134"/>
      </w:pPr>
      <w:r>
        <w:tab/>
      </w:r>
      <w:r w:rsidRPr="006A12FF">
        <w:rPr>
          <w:b/>
          <w:bCs/>
        </w:rPr>
        <w:t>RAN3’s feedback on point #</w:t>
      </w:r>
      <w:r>
        <w:rPr>
          <w:b/>
          <w:bCs/>
        </w:rPr>
        <w:t>2</w:t>
      </w:r>
      <w:r w:rsidRPr="006A12FF">
        <w:rPr>
          <w:b/>
          <w:bCs/>
        </w:rPr>
        <w:t>:</w:t>
      </w:r>
      <w:r w:rsidRPr="00F173ED">
        <w:t xml:space="preserve"> </w:t>
      </w:r>
      <w:r>
        <w:t xml:space="preserve">RAN3 assumes that “Cell ID” in SA2’s question </w:t>
      </w:r>
      <w:r w:rsidR="00D11D73">
        <w:t>refers to</w:t>
      </w:r>
      <w:r w:rsidR="00D11D73">
        <w:t xml:space="preserve"> </w:t>
      </w:r>
      <w:r>
        <w:t>“NCGI”. The NCGI broadcast by the mobile IAB-node</w:t>
      </w:r>
      <w:r w:rsidR="00AB3307">
        <w:t>’s cell</w:t>
      </w:r>
      <w:r>
        <w:t xml:space="preserve"> will change when the mobile IAB-node</w:t>
      </w:r>
      <w:r w:rsidR="00AB3307">
        <w:t>’s IAB-DU migrates to a different</w:t>
      </w:r>
      <w:r>
        <w:t xml:space="preserve"> IAB-donor</w:t>
      </w:r>
      <w:r w:rsidR="00AB3307">
        <w:t>-CU</w:t>
      </w:r>
      <w:r>
        <w:t>. Regarding the TAC</w:t>
      </w:r>
      <w:r w:rsidR="00AB3307">
        <w:t xml:space="preserve"> broadcast by the mobile IAB-node’s cell</w:t>
      </w:r>
      <w:r>
        <w:t xml:space="preserve">, </w:t>
      </w:r>
      <w:r w:rsidR="00AB3307">
        <w:t xml:space="preserve">[include progress on this matter </w:t>
      </w:r>
      <w:r w:rsidR="00A64C23">
        <w:t>in</w:t>
      </w:r>
      <w:r w:rsidR="00AB3307">
        <w:t xml:space="preserve"> RAN3 #117bis-e]</w:t>
      </w:r>
      <w:r>
        <w:t>.</w:t>
      </w:r>
    </w:p>
    <w:p w14:paraId="2A513178" w14:textId="77777777" w:rsidR="006A12FF" w:rsidRDefault="006A12FF" w:rsidP="006A12FF">
      <w:pPr>
        <w:pStyle w:val="B1"/>
      </w:pPr>
    </w:p>
    <w:p w14:paraId="2334D828" w14:textId="36488A0B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3</w:t>
      </w:r>
      <w:r w:rsidRPr="006A12FF">
        <w:rPr>
          <w:b/>
          <w:bCs/>
        </w:rPr>
        <w:t>:</w:t>
      </w:r>
      <w:r>
        <w:t xml:space="preserve"> Also, with regard to Key Issue#3, SA2 would like to understand details of the inter-IAB donor </w:t>
      </w:r>
      <w:proofErr w:type="spellStart"/>
      <w:r>
        <w:t>gNB</w:t>
      </w:r>
      <w:proofErr w:type="spellEnd"/>
      <w:r>
        <w:t xml:space="preserve"> mobility procedure for a MBSR, </w:t>
      </w:r>
      <w:proofErr w:type="gramStart"/>
      <w:r>
        <w:t>e.g.</w:t>
      </w:r>
      <w:proofErr w:type="gramEnd"/>
      <w:r>
        <w:t xml:space="preserve"> the feasibility of supporting NGAP messages containing multiple UE information during the handover procedure. </w:t>
      </w:r>
    </w:p>
    <w:p w14:paraId="17E494BA" w14:textId="77777777" w:rsidR="00F173ED" w:rsidRDefault="00F173ED" w:rsidP="006A12FF">
      <w:pPr>
        <w:pStyle w:val="B1"/>
      </w:pPr>
    </w:p>
    <w:p w14:paraId="164AC14C" w14:textId="3BD10FAF" w:rsidR="00F173ED" w:rsidRDefault="00F173ED" w:rsidP="00F173ED">
      <w:pPr>
        <w:pStyle w:val="B1"/>
        <w:ind w:left="1134"/>
      </w:pPr>
      <w:r>
        <w:tab/>
      </w:r>
      <w:r w:rsidRPr="006A12FF">
        <w:rPr>
          <w:b/>
          <w:bCs/>
        </w:rPr>
        <w:t>RAN3’s feedback on point #</w:t>
      </w:r>
      <w:r>
        <w:rPr>
          <w:b/>
          <w:bCs/>
        </w:rPr>
        <w:t>3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RAN3 is still discussing this point and will provide feedback to SA2 </w:t>
      </w:r>
      <w:proofErr w:type="gramStart"/>
      <w:r>
        <w:t>at a later time</w:t>
      </w:r>
      <w:proofErr w:type="gramEnd"/>
      <w:r>
        <w:t>.</w:t>
      </w:r>
    </w:p>
    <w:p w14:paraId="3FEA2FE1" w14:textId="77777777" w:rsidR="006A12FF" w:rsidRDefault="006A12FF" w:rsidP="006A12FF">
      <w:pPr>
        <w:pStyle w:val="B1"/>
      </w:pPr>
    </w:p>
    <w:p w14:paraId="3D55334C" w14:textId="032B2D23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4</w:t>
      </w:r>
      <w:r w:rsidRPr="006A12FF">
        <w:rPr>
          <w:b/>
          <w:bCs/>
        </w:rPr>
        <w:t>:</w:t>
      </w:r>
      <w:r>
        <w:t xml:space="preserve"> </w:t>
      </w:r>
      <w:proofErr w:type="gramStart"/>
      <w:r>
        <w:t>With regard to</w:t>
      </w:r>
      <w:proofErr w:type="gramEnd"/>
      <w:r>
        <w:t xml:space="preserve"> Key Issue#4 (as defined in clause 5.4), SA2 would like to understand if IAB-node integration procedure or inter-IAB-donor </w:t>
      </w:r>
      <w:proofErr w:type="spellStart"/>
      <w:r>
        <w:t>gNB</w:t>
      </w:r>
      <w:proofErr w:type="spellEnd"/>
      <w:r>
        <w:t xml:space="preserve"> mobility procedure, or both, can be used for MBSR to integrate into the VPLMN. </w:t>
      </w:r>
    </w:p>
    <w:p w14:paraId="2A6F3936" w14:textId="77777777" w:rsidR="00F173ED" w:rsidRDefault="00F173ED" w:rsidP="006A12FF">
      <w:pPr>
        <w:pStyle w:val="B1"/>
      </w:pPr>
    </w:p>
    <w:p w14:paraId="5A622B7C" w14:textId="14A90F3A" w:rsidR="00F173ED" w:rsidRDefault="00F173ED" w:rsidP="00F173ED">
      <w:pPr>
        <w:pStyle w:val="B1"/>
        <w:ind w:left="1134"/>
      </w:pPr>
      <w:r>
        <w:tab/>
      </w:r>
      <w:r w:rsidRPr="006A12FF">
        <w:rPr>
          <w:b/>
          <w:bCs/>
        </w:rPr>
        <w:t>RAN3’s feedback on point #</w:t>
      </w:r>
      <w:r>
        <w:rPr>
          <w:b/>
          <w:bCs/>
        </w:rPr>
        <w:t>4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The IAB-node integration </w:t>
      </w:r>
      <w:r w:rsidR="00E77938">
        <w:t xml:space="preserve">and </w:t>
      </w:r>
      <w:r w:rsidR="007F55E8">
        <w:t xml:space="preserve">IAB </w:t>
      </w:r>
      <w:r w:rsidR="00E77938">
        <w:t>topology adaptation</w:t>
      </w:r>
      <w:r w:rsidR="00CE4B0C">
        <w:t xml:space="preserve"> </w:t>
      </w:r>
      <w:r>
        <w:t>procedure</w:t>
      </w:r>
      <w:r w:rsidR="00E77938">
        <w:t>s</w:t>
      </w:r>
      <w:r w:rsidR="00D72FA7">
        <w:t xml:space="preserve"> defined in Rel-16/17 do not consider the IAB-node roaming scenario. </w:t>
      </w:r>
      <w:r w:rsidR="00665754">
        <w:t xml:space="preserve"> </w:t>
      </w:r>
      <w:r w:rsidR="000F569F">
        <w:t xml:space="preserve">This does not preclude IAB </w:t>
      </w:r>
      <w:r w:rsidR="00161782">
        <w:t>integration</w:t>
      </w:r>
      <w:r w:rsidR="000F569F">
        <w:t xml:space="preserve"> and </w:t>
      </w:r>
      <w:r w:rsidR="00F43877">
        <w:t xml:space="preserve">IAB </w:t>
      </w:r>
      <w:r w:rsidR="000F569F">
        <w:t>topology adaptation procedures</w:t>
      </w:r>
      <w:r w:rsidR="00161782">
        <w:t xml:space="preserve"> </w:t>
      </w:r>
      <w:r w:rsidR="000F569F">
        <w:t>to be used in</w:t>
      </w:r>
      <w:r w:rsidR="00161782">
        <w:t xml:space="preserve"> a VPLMN. </w:t>
      </w:r>
    </w:p>
    <w:p w14:paraId="45549EF0" w14:textId="77777777" w:rsidR="00F173ED" w:rsidRDefault="00F173ED" w:rsidP="006A12FF">
      <w:pPr>
        <w:pStyle w:val="B1"/>
      </w:pPr>
    </w:p>
    <w:p w14:paraId="5CFD2B08" w14:textId="57157D33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5</w:t>
      </w:r>
      <w:r w:rsidRPr="006A12FF">
        <w:rPr>
          <w:b/>
          <w:bCs/>
        </w:rPr>
        <w:t>:</w:t>
      </w:r>
      <w:r>
        <w:t xml:space="preserve"> With regard to Key Issue#5 (as defined in clause 5.5), is it feasible for the IAB-donor </w:t>
      </w:r>
      <w:proofErr w:type="spellStart"/>
      <w:r>
        <w:t>gNB</w:t>
      </w:r>
      <w:proofErr w:type="spellEnd"/>
      <w:r>
        <w:t xml:space="preserve"> to identify that a UE is served by a MBSR (</w:t>
      </w:r>
      <w:proofErr w:type="gramStart"/>
      <w:r>
        <w:t>e.g.</w:t>
      </w:r>
      <w:proofErr w:type="gramEnd"/>
      <w:r>
        <w:t xml:space="preserve"> indicate TRP is mobile and the reference point is a MBSR/mobile).</w:t>
      </w:r>
    </w:p>
    <w:p w14:paraId="6E70EEEE" w14:textId="77777777" w:rsidR="00F173ED" w:rsidRDefault="00F173ED" w:rsidP="006A12FF">
      <w:pPr>
        <w:pStyle w:val="B1"/>
      </w:pPr>
    </w:p>
    <w:p w14:paraId="5BD1073B" w14:textId="34428FF3" w:rsidR="005E2045" w:rsidRDefault="00F173ED" w:rsidP="00F173ED">
      <w:pPr>
        <w:pStyle w:val="B1"/>
        <w:ind w:left="1134"/>
        <w:rPr>
          <w:b/>
          <w:bCs/>
        </w:rPr>
      </w:pPr>
      <w:r>
        <w:tab/>
      </w:r>
      <w:bookmarkStart w:id="1" w:name="_Hlk115193321"/>
      <w:r w:rsidRPr="006A12FF">
        <w:rPr>
          <w:b/>
          <w:bCs/>
        </w:rPr>
        <w:t>RAN3’s feedback on point #</w:t>
      </w:r>
      <w:r>
        <w:rPr>
          <w:b/>
          <w:bCs/>
        </w:rPr>
        <w:t>5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 w:rsidR="002D294D">
        <w:t xml:space="preserve">It is feasible </w:t>
      </w:r>
      <w:r w:rsidR="002D294D" w:rsidRPr="002D294D">
        <w:t>to provide the IAB-donor serving the UE with the functionality to identify that this UE is connected to a mobile IAB-node</w:t>
      </w:r>
      <w:r w:rsidR="005E2045" w:rsidRPr="005E2045">
        <w:t>.</w:t>
      </w:r>
    </w:p>
    <w:bookmarkEnd w:id="1"/>
    <w:p w14:paraId="4FACF6E4" w14:textId="77777777" w:rsidR="005E2045" w:rsidRDefault="005E2045" w:rsidP="00F173ED">
      <w:pPr>
        <w:pStyle w:val="B1"/>
        <w:ind w:left="1134"/>
        <w:rPr>
          <w:b/>
          <w:bCs/>
        </w:rPr>
      </w:pPr>
    </w:p>
    <w:p w14:paraId="294F4CE3" w14:textId="2D225DF9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6</w:t>
      </w:r>
      <w:r w:rsidRPr="006A12FF">
        <w:rPr>
          <w:b/>
          <w:bCs/>
        </w:rPr>
        <w:t>:</w:t>
      </w:r>
      <w:r>
        <w:t xml:space="preserve"> Additionally, </w:t>
      </w:r>
      <w:proofErr w:type="gramStart"/>
      <w:r>
        <w:t>with regard to</w:t>
      </w:r>
      <w:proofErr w:type="gramEnd"/>
      <w:r>
        <w:t xml:space="preserve"> Key Issue#5, would </w:t>
      </w:r>
      <w:proofErr w:type="spellStart"/>
      <w:r>
        <w:t>NRPPa</w:t>
      </w:r>
      <w:proofErr w:type="spellEnd"/>
      <w:r>
        <w:t xml:space="preserve"> procedure for TRP location query be used by an LMF to obtain the MBSR location information? </w:t>
      </w:r>
    </w:p>
    <w:p w14:paraId="1EDC6CDC" w14:textId="0948F291" w:rsidR="00F173ED" w:rsidRDefault="00F173ED" w:rsidP="006A12FF">
      <w:pPr>
        <w:pStyle w:val="B1"/>
      </w:pPr>
    </w:p>
    <w:p w14:paraId="15509CF4" w14:textId="29FF7BFF" w:rsidR="00F173ED" w:rsidRDefault="00F173ED" w:rsidP="00F173ED">
      <w:pPr>
        <w:pStyle w:val="B1"/>
        <w:ind w:left="1134"/>
      </w:pPr>
      <w:r>
        <w:tab/>
      </w:r>
      <w:r w:rsidRPr="006A12FF">
        <w:rPr>
          <w:b/>
          <w:bCs/>
        </w:rPr>
        <w:t>RAN3’s feedback on point #</w:t>
      </w:r>
      <w:r>
        <w:rPr>
          <w:b/>
          <w:bCs/>
        </w:rPr>
        <w:t>6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 w:rsidR="00125BBC">
        <w:t xml:space="preserve">RAN3 specifications </w:t>
      </w:r>
      <w:r w:rsidR="008A0E87">
        <w:t xml:space="preserve">do not </w:t>
      </w:r>
      <w:r w:rsidR="00125BBC">
        <w:t>preclud</w:t>
      </w:r>
      <w:r w:rsidR="008A0E87">
        <w:t>e</w:t>
      </w:r>
      <w:r w:rsidR="00946E89">
        <w:t xml:space="preserve"> </w:t>
      </w:r>
      <w:r w:rsidR="00125BBC">
        <w:t xml:space="preserve">use </w:t>
      </w:r>
      <w:r w:rsidR="008A0E87">
        <w:t xml:space="preserve">of </w:t>
      </w:r>
      <w:r w:rsidR="00125BBC">
        <w:t xml:space="preserve">the </w:t>
      </w:r>
      <w:proofErr w:type="spellStart"/>
      <w:r w:rsidR="00125BBC" w:rsidRPr="00302FEE">
        <w:rPr>
          <w:rFonts w:hAnsi="Microsoft Sans Serif"/>
          <w:color w:val="000000" w:themeColor="dark1"/>
          <w:kern w:val="24"/>
        </w:rPr>
        <w:t>NRPPa</w:t>
      </w:r>
      <w:proofErr w:type="spellEnd"/>
      <w:r w:rsidR="00125BBC" w:rsidRPr="00302FEE">
        <w:rPr>
          <w:rFonts w:hAnsi="Microsoft Sans Serif"/>
          <w:color w:val="000000" w:themeColor="dark1"/>
          <w:kern w:val="24"/>
        </w:rPr>
        <w:t xml:space="preserve"> procedure for TRP </w:t>
      </w:r>
      <w:r w:rsidR="008A0E87">
        <w:rPr>
          <w:rFonts w:hAnsi="Microsoft Sans Serif"/>
          <w:color w:val="000000" w:themeColor="dark1"/>
          <w:kern w:val="24"/>
        </w:rPr>
        <w:t xml:space="preserve">Information Exchange by an LMF for this purpose (i.e., </w:t>
      </w:r>
      <w:r w:rsidR="00125BBC" w:rsidRPr="00302FEE">
        <w:rPr>
          <w:rFonts w:hAnsi="Microsoft Sans Serif"/>
          <w:color w:val="000000" w:themeColor="dark1"/>
          <w:kern w:val="24"/>
        </w:rPr>
        <w:t xml:space="preserve">to obtain the </w:t>
      </w:r>
      <w:r w:rsidR="00461008">
        <w:rPr>
          <w:rFonts w:hAnsi="Microsoft Sans Serif"/>
          <w:color w:val="000000" w:themeColor="dark1"/>
          <w:kern w:val="24"/>
        </w:rPr>
        <w:t xml:space="preserve">location of </w:t>
      </w:r>
      <w:r w:rsidR="008A0E87">
        <w:rPr>
          <w:rFonts w:hAnsi="Microsoft Sans Serif"/>
          <w:color w:val="000000" w:themeColor="dark1"/>
          <w:kern w:val="24"/>
        </w:rPr>
        <w:t xml:space="preserve">TRPs in </w:t>
      </w:r>
      <w:r w:rsidR="00461008">
        <w:rPr>
          <w:rFonts w:hAnsi="Microsoft Sans Serif"/>
          <w:color w:val="000000" w:themeColor="dark1"/>
          <w:kern w:val="24"/>
        </w:rPr>
        <w:t xml:space="preserve">a mobile </w:t>
      </w:r>
      <w:r w:rsidR="00125BBC">
        <w:rPr>
          <w:rFonts w:hAnsi="Microsoft Sans Serif"/>
          <w:color w:val="000000" w:themeColor="dark1"/>
          <w:kern w:val="24"/>
        </w:rPr>
        <w:t>IAB-node</w:t>
      </w:r>
      <w:r w:rsidR="008A0E87">
        <w:rPr>
          <w:rFonts w:hAnsi="Microsoft Sans Serif"/>
          <w:color w:val="000000" w:themeColor="dark1"/>
          <w:kern w:val="24"/>
        </w:rPr>
        <w:t>)</w:t>
      </w:r>
      <w:r w:rsidR="001F16A8">
        <w:rPr>
          <w:rFonts w:hAnsi="Microsoft Sans Serif"/>
          <w:color w:val="000000" w:themeColor="dark1"/>
          <w:kern w:val="24"/>
        </w:rPr>
        <w:t>.</w:t>
      </w:r>
      <w:r w:rsidR="000F1C96">
        <w:rPr>
          <w:rFonts w:hAnsi="Microsoft Sans Serif"/>
          <w:color w:val="000000" w:themeColor="dark1"/>
          <w:kern w:val="24"/>
        </w:rPr>
        <w:t xml:space="preserve"> </w:t>
      </w:r>
      <w:r w:rsidR="00D11D73">
        <w:rPr>
          <w:rFonts w:hAnsi="Microsoft Sans Serif"/>
          <w:color w:val="000000" w:themeColor="dark1"/>
          <w:kern w:val="24"/>
        </w:rPr>
        <w:t>However, t</w:t>
      </w:r>
      <w:r w:rsidR="001F16A8">
        <w:rPr>
          <w:rFonts w:hAnsi="Microsoft Sans Serif"/>
          <w:color w:val="000000" w:themeColor="dark1"/>
          <w:kern w:val="24"/>
        </w:rPr>
        <w:t xml:space="preserve">here is no RAN3 specification for the use of the </w:t>
      </w:r>
      <w:proofErr w:type="spellStart"/>
      <w:r w:rsidR="001F16A8">
        <w:rPr>
          <w:rFonts w:hAnsi="Microsoft Sans Serif"/>
          <w:color w:val="000000" w:themeColor="dark1"/>
          <w:kern w:val="24"/>
        </w:rPr>
        <w:t>NRPPa</w:t>
      </w:r>
      <w:proofErr w:type="spellEnd"/>
      <w:r w:rsidR="001F16A8">
        <w:rPr>
          <w:rFonts w:hAnsi="Microsoft Sans Serif"/>
          <w:color w:val="000000" w:themeColor="dark1"/>
          <w:kern w:val="24"/>
        </w:rPr>
        <w:t xml:space="preserve"> procedure for a TRP residing on an IAB-node</w:t>
      </w:r>
      <w:r w:rsidR="00946E89">
        <w:t>.</w:t>
      </w:r>
    </w:p>
    <w:p w14:paraId="4E8E5275" w14:textId="77777777" w:rsidR="00F173ED" w:rsidRDefault="00F173ED" w:rsidP="006A12FF">
      <w:pPr>
        <w:pStyle w:val="B1"/>
      </w:pPr>
    </w:p>
    <w:p w14:paraId="624576C8" w14:textId="2433B11A" w:rsidR="006A12FF" w:rsidRDefault="006A12FF" w:rsidP="006A12FF">
      <w:pPr>
        <w:pStyle w:val="B1"/>
      </w:pPr>
      <w:r>
        <w:t>-</w:t>
      </w:r>
      <w:r>
        <w:tab/>
      </w:r>
      <w:r w:rsidRPr="006A12FF">
        <w:rPr>
          <w:b/>
          <w:bCs/>
        </w:rPr>
        <w:t>SA2 point #</w:t>
      </w:r>
      <w:r>
        <w:rPr>
          <w:b/>
          <w:bCs/>
        </w:rPr>
        <w:t>7</w:t>
      </w:r>
      <w:r w:rsidRPr="006A12FF">
        <w:rPr>
          <w:b/>
          <w:bCs/>
        </w:rPr>
        <w:t>:</w:t>
      </w:r>
      <w:r>
        <w:t xml:space="preserve"> With regard to Key Issue#6 (as defined in clause 5.6), is it feasible for the IAB-donor </w:t>
      </w:r>
      <w:proofErr w:type="spellStart"/>
      <w:r>
        <w:t>gNB</w:t>
      </w:r>
      <w:proofErr w:type="spellEnd"/>
      <w:r>
        <w:t xml:space="preserve"> to provide an additional ULI (</w:t>
      </w:r>
      <w:proofErr w:type="gramStart"/>
      <w:r>
        <w:t>e.g.</w:t>
      </w:r>
      <w:proofErr w:type="gramEnd"/>
      <w:r>
        <w:t xml:space="preserve"> TAI/NG CGI information) for the MBSR to the AMF of the UE served by the MBSR, over NGAP together with the existing ULI for the UE?</w:t>
      </w:r>
    </w:p>
    <w:p w14:paraId="6E1DF6DA" w14:textId="0E94032F" w:rsidR="00F173ED" w:rsidRDefault="00F173ED" w:rsidP="006A12FF">
      <w:pPr>
        <w:pStyle w:val="B1"/>
      </w:pPr>
    </w:p>
    <w:p w14:paraId="5345E709" w14:textId="6DE65C27" w:rsidR="00F173ED" w:rsidRDefault="00F173ED" w:rsidP="00F173ED">
      <w:pPr>
        <w:pStyle w:val="B1"/>
        <w:ind w:left="1134"/>
      </w:pPr>
      <w:r>
        <w:tab/>
      </w:r>
      <w:r w:rsidRPr="006A12FF">
        <w:rPr>
          <w:b/>
          <w:bCs/>
        </w:rPr>
        <w:t>RAN3’s feedback on point #</w:t>
      </w:r>
      <w:r>
        <w:rPr>
          <w:b/>
          <w:bCs/>
        </w:rPr>
        <w:t>7</w:t>
      </w:r>
      <w:r w:rsidRPr="006A12FF">
        <w:rPr>
          <w:b/>
          <w:bCs/>
        </w:rPr>
        <w:t>:</w:t>
      </w:r>
      <w:r>
        <w:rPr>
          <w:b/>
          <w:bCs/>
        </w:rPr>
        <w:t xml:space="preserve"> </w:t>
      </w:r>
      <w:r>
        <w:t>It is technically feasible</w:t>
      </w:r>
      <w:r w:rsidRPr="00553AC8">
        <w:t xml:space="preserve"> </w:t>
      </w:r>
      <w:r w:rsidRPr="00302FEE">
        <w:t xml:space="preserve">for the IAB-donor </w:t>
      </w:r>
      <w:proofErr w:type="spellStart"/>
      <w:r w:rsidRPr="00302FEE">
        <w:t>gNB</w:t>
      </w:r>
      <w:proofErr w:type="spellEnd"/>
      <w:r w:rsidRPr="00302FEE">
        <w:t xml:space="preserve"> to provide an additional ULI (</w:t>
      </w:r>
      <w:proofErr w:type="gramStart"/>
      <w:r w:rsidRPr="00302FEE">
        <w:t>e.g.</w:t>
      </w:r>
      <w:proofErr w:type="gramEnd"/>
      <w:r w:rsidRPr="00302FEE">
        <w:t xml:space="preserve"> TAI/NG CGI information) for the </w:t>
      </w:r>
      <w:r>
        <w:t>mobile IAB-node</w:t>
      </w:r>
      <w:r w:rsidRPr="00302FEE">
        <w:t xml:space="preserve"> to the AMF of the UE served by the </w:t>
      </w:r>
      <w:r>
        <w:t>IAB-node</w:t>
      </w:r>
      <w:r w:rsidRPr="00302FEE">
        <w:t>, over NGAP together with the existing ULI for the UE</w:t>
      </w:r>
      <w:r>
        <w:t>. How this additional ULI is determined needs further discussion in RAN3.</w:t>
      </w:r>
    </w:p>
    <w:p w14:paraId="2D3BA29D" w14:textId="721F4CC5" w:rsidR="00463675" w:rsidRPr="00022BBF" w:rsidRDefault="00463675">
      <w:pPr>
        <w:rPr>
          <w:rFonts w:ascii="Arial" w:hAnsi="Arial" w:cs="Arial"/>
          <w:i/>
          <w:iCs/>
        </w:rPr>
      </w:pPr>
    </w:p>
    <w:p w14:paraId="63DA267E" w14:textId="1393EE1C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5CDE5026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FC1405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</w:t>
      </w:r>
      <w:r w:rsidR="00FC1405">
        <w:rPr>
          <w:rFonts w:ascii="Arial" w:hAnsi="Arial" w:cs="Arial"/>
        </w:rPr>
        <w:t>SA2</w:t>
      </w:r>
      <w:r w:rsidR="003C5E54" w:rsidRPr="00022BBF">
        <w:rPr>
          <w:rFonts w:ascii="Arial" w:hAnsi="Arial" w:cs="Arial"/>
        </w:rPr>
        <w:t xml:space="preserve"> to </w:t>
      </w:r>
      <w:r w:rsidR="00FC1405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2F19AFA" w:rsidR="004567C2" w:rsidRDefault="00FC1405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18</w:t>
      </w:r>
      <w:r w:rsidR="004567C2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="004567C2">
        <w:rPr>
          <w:rFonts w:ascii="Arial" w:hAnsi="Arial" w:cs="Arial"/>
          <w:bCs/>
        </w:rPr>
        <w:t>th - 1</w:t>
      </w:r>
      <w:r>
        <w:rPr>
          <w:rFonts w:ascii="Arial" w:hAnsi="Arial" w:cs="Arial"/>
          <w:bCs/>
        </w:rPr>
        <w:t>8</w:t>
      </w:r>
      <w:r w:rsidR="004567C2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="004567C2">
        <w:rPr>
          <w:rFonts w:ascii="Arial" w:hAnsi="Arial" w:cs="Arial"/>
          <w:bCs/>
        </w:rPr>
        <w:t xml:space="preserve"> 2022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39D36C05" w14:textId="188C028A" w:rsidR="00FC1405" w:rsidRDefault="00FC1405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</w:t>
      </w:r>
      <w:r>
        <w:rPr>
          <w:rFonts w:ascii="Arial" w:hAnsi="Arial" w:cs="Arial"/>
          <w:bCs/>
        </w:rPr>
        <w:tab/>
      </w:r>
      <w:r w:rsidR="009206FE">
        <w:rPr>
          <w:rFonts w:ascii="Arial" w:hAnsi="Arial" w:cs="Arial"/>
          <w:bCs/>
        </w:rPr>
        <w:t>27</w:t>
      </w:r>
      <w:r w:rsidR="009206FE" w:rsidRPr="009206FE">
        <w:rPr>
          <w:rFonts w:ascii="Arial" w:hAnsi="Arial" w:cs="Arial"/>
          <w:bCs/>
          <w:vertAlign w:val="superscript"/>
        </w:rPr>
        <w:t>th</w:t>
      </w:r>
      <w:r w:rsidR="009206FE">
        <w:rPr>
          <w:rFonts w:ascii="Arial" w:hAnsi="Arial" w:cs="Arial"/>
          <w:bCs/>
        </w:rPr>
        <w:t xml:space="preserve"> February - 3rd March 2022</w:t>
      </w:r>
      <w:r w:rsidR="009206FE">
        <w:rPr>
          <w:rFonts w:ascii="Arial" w:hAnsi="Arial" w:cs="Arial"/>
          <w:bCs/>
        </w:rPr>
        <w:tab/>
        <w:t>Athens, Greece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44C2" w14:textId="77777777" w:rsidR="00417B9F" w:rsidRDefault="00417B9F">
      <w:r>
        <w:separator/>
      </w:r>
    </w:p>
  </w:endnote>
  <w:endnote w:type="continuationSeparator" w:id="0">
    <w:p w14:paraId="052ECB7A" w14:textId="77777777" w:rsidR="00417B9F" w:rsidRDefault="0041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6E97" w14:textId="77777777" w:rsidR="00417B9F" w:rsidRDefault="00417B9F">
      <w:r>
        <w:separator/>
      </w:r>
    </w:p>
  </w:footnote>
  <w:footnote w:type="continuationSeparator" w:id="0">
    <w:p w14:paraId="032AAAB8" w14:textId="77777777" w:rsidR="00417B9F" w:rsidRDefault="0041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41E"/>
    <w:rsid w:val="000138DC"/>
    <w:rsid w:val="00022BBF"/>
    <w:rsid w:val="00027ACA"/>
    <w:rsid w:val="00027BAD"/>
    <w:rsid w:val="00061460"/>
    <w:rsid w:val="000764D2"/>
    <w:rsid w:val="000B1AA1"/>
    <w:rsid w:val="000F1C96"/>
    <w:rsid w:val="000F4E43"/>
    <w:rsid w:val="000F569F"/>
    <w:rsid w:val="00104AF8"/>
    <w:rsid w:val="00105899"/>
    <w:rsid w:val="0011691B"/>
    <w:rsid w:val="00125BBC"/>
    <w:rsid w:val="001335CA"/>
    <w:rsid w:val="00154EFE"/>
    <w:rsid w:val="001608BF"/>
    <w:rsid w:val="00160E89"/>
    <w:rsid w:val="00161782"/>
    <w:rsid w:val="00165C82"/>
    <w:rsid w:val="001734EB"/>
    <w:rsid w:val="001A4AF7"/>
    <w:rsid w:val="001A78C6"/>
    <w:rsid w:val="001E60FD"/>
    <w:rsid w:val="001F16A8"/>
    <w:rsid w:val="002244E2"/>
    <w:rsid w:val="00225E67"/>
    <w:rsid w:val="002349A7"/>
    <w:rsid w:val="00275FF1"/>
    <w:rsid w:val="00281CF6"/>
    <w:rsid w:val="002A326D"/>
    <w:rsid w:val="002D294D"/>
    <w:rsid w:val="002E5688"/>
    <w:rsid w:val="00324107"/>
    <w:rsid w:val="00326B06"/>
    <w:rsid w:val="00347947"/>
    <w:rsid w:val="003663C4"/>
    <w:rsid w:val="0036687A"/>
    <w:rsid w:val="00367678"/>
    <w:rsid w:val="003901E1"/>
    <w:rsid w:val="003B5BF5"/>
    <w:rsid w:val="003C5E54"/>
    <w:rsid w:val="00401229"/>
    <w:rsid w:val="00417B9F"/>
    <w:rsid w:val="004234FF"/>
    <w:rsid w:val="00445241"/>
    <w:rsid w:val="004567C2"/>
    <w:rsid w:val="00461008"/>
    <w:rsid w:val="00463675"/>
    <w:rsid w:val="00472D0A"/>
    <w:rsid w:val="004B1644"/>
    <w:rsid w:val="004B43FA"/>
    <w:rsid w:val="004B6D78"/>
    <w:rsid w:val="004C3F5A"/>
    <w:rsid w:val="004C4DCF"/>
    <w:rsid w:val="004F0F83"/>
    <w:rsid w:val="00507006"/>
    <w:rsid w:val="00571144"/>
    <w:rsid w:val="00584B08"/>
    <w:rsid w:val="00584CD5"/>
    <w:rsid w:val="005B30A9"/>
    <w:rsid w:val="005E2045"/>
    <w:rsid w:val="005E5C97"/>
    <w:rsid w:val="00615177"/>
    <w:rsid w:val="0063235B"/>
    <w:rsid w:val="00643064"/>
    <w:rsid w:val="00654758"/>
    <w:rsid w:val="00665754"/>
    <w:rsid w:val="00675D3A"/>
    <w:rsid w:val="006815EB"/>
    <w:rsid w:val="00687A0B"/>
    <w:rsid w:val="00695AEB"/>
    <w:rsid w:val="006A12FF"/>
    <w:rsid w:val="006D0B09"/>
    <w:rsid w:val="006E17C7"/>
    <w:rsid w:val="007032C5"/>
    <w:rsid w:val="007116E4"/>
    <w:rsid w:val="00726FC3"/>
    <w:rsid w:val="0073312A"/>
    <w:rsid w:val="007626BF"/>
    <w:rsid w:val="00763340"/>
    <w:rsid w:val="0077485D"/>
    <w:rsid w:val="00787CAC"/>
    <w:rsid w:val="007916FB"/>
    <w:rsid w:val="007F55E8"/>
    <w:rsid w:val="007F7452"/>
    <w:rsid w:val="0089666F"/>
    <w:rsid w:val="008A0E87"/>
    <w:rsid w:val="0090241A"/>
    <w:rsid w:val="0090582E"/>
    <w:rsid w:val="00912DB5"/>
    <w:rsid w:val="009206FE"/>
    <w:rsid w:val="00923E7C"/>
    <w:rsid w:val="00946E89"/>
    <w:rsid w:val="00957831"/>
    <w:rsid w:val="0098103D"/>
    <w:rsid w:val="00993231"/>
    <w:rsid w:val="009D2D6A"/>
    <w:rsid w:val="009F12F6"/>
    <w:rsid w:val="009F3651"/>
    <w:rsid w:val="009F6E85"/>
    <w:rsid w:val="00A40DCE"/>
    <w:rsid w:val="00A64C23"/>
    <w:rsid w:val="00A7348D"/>
    <w:rsid w:val="00A93376"/>
    <w:rsid w:val="00A93EEA"/>
    <w:rsid w:val="00AB3307"/>
    <w:rsid w:val="00AC079B"/>
    <w:rsid w:val="00AD51BB"/>
    <w:rsid w:val="00AE489C"/>
    <w:rsid w:val="00B144F4"/>
    <w:rsid w:val="00B740D7"/>
    <w:rsid w:val="00B9280F"/>
    <w:rsid w:val="00BE6F08"/>
    <w:rsid w:val="00BF6B0C"/>
    <w:rsid w:val="00BF7EE2"/>
    <w:rsid w:val="00C165D1"/>
    <w:rsid w:val="00C20BCF"/>
    <w:rsid w:val="00C221AB"/>
    <w:rsid w:val="00C2412E"/>
    <w:rsid w:val="00C31A0D"/>
    <w:rsid w:val="00C6700A"/>
    <w:rsid w:val="00CA2FB0"/>
    <w:rsid w:val="00CA77AA"/>
    <w:rsid w:val="00CE4B0C"/>
    <w:rsid w:val="00D11D73"/>
    <w:rsid w:val="00D53018"/>
    <w:rsid w:val="00D676CD"/>
    <w:rsid w:val="00D72FA7"/>
    <w:rsid w:val="00D97334"/>
    <w:rsid w:val="00DA35C4"/>
    <w:rsid w:val="00DA5361"/>
    <w:rsid w:val="00E02FFA"/>
    <w:rsid w:val="00E16BBB"/>
    <w:rsid w:val="00E20604"/>
    <w:rsid w:val="00E274D9"/>
    <w:rsid w:val="00E4207B"/>
    <w:rsid w:val="00E66D9D"/>
    <w:rsid w:val="00E72B30"/>
    <w:rsid w:val="00E74B9D"/>
    <w:rsid w:val="00E76827"/>
    <w:rsid w:val="00E77938"/>
    <w:rsid w:val="00E94876"/>
    <w:rsid w:val="00EA19B5"/>
    <w:rsid w:val="00EA68B1"/>
    <w:rsid w:val="00F0649B"/>
    <w:rsid w:val="00F12248"/>
    <w:rsid w:val="00F16C83"/>
    <w:rsid w:val="00F173ED"/>
    <w:rsid w:val="00F20CD7"/>
    <w:rsid w:val="00F43877"/>
    <w:rsid w:val="00F534DD"/>
    <w:rsid w:val="00F75660"/>
    <w:rsid w:val="00F82EB9"/>
    <w:rsid w:val="00F92D7D"/>
    <w:rsid w:val="00F9363A"/>
    <w:rsid w:val="00F970B2"/>
    <w:rsid w:val="00FB305E"/>
    <w:rsid w:val="00FC1405"/>
    <w:rsid w:val="00FD29BB"/>
    <w:rsid w:val="00FE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6A12F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3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37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335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2022-09-27T21:50:00Z</dcterms:created>
  <dcterms:modified xsi:type="dcterms:W3CDTF">2022-09-27T21:50:00Z</dcterms:modified>
</cp:coreProperties>
</file>